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C4152" w14:textId="77777777" w:rsidR="0042304E" w:rsidRPr="005B1E0E" w:rsidRDefault="0042304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D2EFF9F" w14:textId="560B93C4" w:rsidR="0005243A" w:rsidRPr="005B1E0E" w:rsidRDefault="00A42299" w:rsidP="004522D8">
      <w:pPr>
        <w:pStyle w:val="Pealkiri1"/>
        <w:jc w:val="center"/>
        <w:rPr>
          <w:rFonts w:asciiTheme="minorHAnsi" w:hAnsiTheme="minorHAnsi" w:cstheme="minorHAnsi"/>
          <w:sz w:val="28"/>
          <w:szCs w:val="28"/>
          <w:lang w:val="et-EE"/>
        </w:rPr>
      </w:pPr>
      <w:r w:rsidRPr="005B1E0E">
        <w:rPr>
          <w:rFonts w:asciiTheme="minorHAnsi" w:hAnsiTheme="minorHAnsi" w:cstheme="minorHAnsi"/>
          <w:sz w:val="28"/>
          <w:szCs w:val="28"/>
          <w:lang w:val="et-EE"/>
        </w:rPr>
        <w:t xml:space="preserve">Juhised kultuuri- ja turismivaldkonna teenuste ligipääsetavuse suurendamiseks </w:t>
      </w:r>
      <w:r w:rsidR="003E74F5" w:rsidRPr="005B1E0E">
        <w:rPr>
          <w:rFonts w:asciiTheme="minorHAnsi" w:hAnsiTheme="minorHAnsi" w:cstheme="minorHAnsi"/>
          <w:sz w:val="28"/>
          <w:szCs w:val="28"/>
          <w:lang w:val="et-EE"/>
        </w:rPr>
        <w:t>kaaskiri</w:t>
      </w:r>
    </w:p>
    <w:p w14:paraId="31436FBC" w14:textId="77777777" w:rsidR="000B5140" w:rsidRPr="005B1E0E" w:rsidRDefault="000B5140" w:rsidP="000B51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t-EE"/>
        </w:rPr>
      </w:pPr>
    </w:p>
    <w:p w14:paraId="764F25E1" w14:textId="078E4F83" w:rsidR="003E74F5" w:rsidRPr="005B1E0E" w:rsidRDefault="00E474E6" w:rsidP="003E74F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  <w:r w:rsidRPr="005B1E0E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Ehitusliku keskkonna, välialade, info ja kommunikatsiooni ligipääsetavus on mitmetahuline mõiste, sest vajadused seoses ligipääsetavusega võivad puuetest või vanusest tingituna olla väga erinevad. </w:t>
      </w:r>
      <w:r w:rsidR="33104949" w:rsidRPr="005B1E0E">
        <w:rPr>
          <w:rFonts w:asciiTheme="minorHAnsi" w:eastAsia="Times New Roman" w:hAnsiTheme="minorHAnsi" w:cstheme="minorHAnsi"/>
          <w:sz w:val="24"/>
          <w:szCs w:val="24"/>
          <w:lang w:val="et-EE"/>
        </w:rPr>
        <w:t>Ainult sellest, et üksik hoone või teenuse osa on ligipääsetav, ei piisa selleks, et puuetega inimesed saaksid ühiskonnaelust osa. Terviklik ligipääsetavus moodustub </w:t>
      </w:r>
      <w:r w:rsidR="33104949" w:rsidRPr="005B1E0E">
        <w:rPr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t>kasutajateekonnast</w:t>
      </w:r>
      <w:r w:rsidR="33104949" w:rsidRPr="005B1E0E">
        <w:rPr>
          <w:rFonts w:asciiTheme="minorHAnsi" w:eastAsia="Times New Roman" w:hAnsiTheme="minorHAnsi" w:cstheme="minorHAnsi"/>
          <w:sz w:val="24"/>
          <w:szCs w:val="24"/>
          <w:lang w:val="et-EE"/>
        </w:rPr>
        <w:t>, mille </w:t>
      </w:r>
      <w:r w:rsidR="33104949" w:rsidRPr="005B1E0E">
        <w:rPr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t>kõik osad</w:t>
      </w:r>
      <w:r w:rsidR="00050876">
        <w:rPr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t xml:space="preserve"> – füüsilise </w:t>
      </w:r>
      <w:r w:rsidR="33104949" w:rsidRPr="005B1E0E">
        <w:rPr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t>ruum</w:t>
      </w:r>
      <w:r w:rsidR="00050876">
        <w:rPr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t xml:space="preserve">i või </w:t>
      </w:r>
      <w:r w:rsidR="33104949" w:rsidRPr="005B1E0E">
        <w:rPr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t>hoone disain, infodisain ja teenusedisain</w:t>
      </w:r>
      <w:r w:rsidR="00050876">
        <w:rPr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t xml:space="preserve"> – </w:t>
      </w:r>
      <w:r w:rsidR="00050876" w:rsidRPr="00050876">
        <w:rPr>
          <w:rFonts w:asciiTheme="minorHAnsi" w:eastAsia="Times New Roman" w:hAnsiTheme="minorHAnsi" w:cstheme="minorHAnsi"/>
          <w:sz w:val="24"/>
          <w:szCs w:val="24"/>
          <w:lang w:val="et-EE"/>
        </w:rPr>
        <w:t>on ligip</w:t>
      </w:r>
      <w:r w:rsidR="33104949" w:rsidRPr="00050876">
        <w:rPr>
          <w:rFonts w:asciiTheme="minorHAnsi" w:eastAsia="Times New Roman" w:hAnsiTheme="minorHAnsi" w:cstheme="minorHAnsi"/>
          <w:sz w:val="24"/>
          <w:szCs w:val="24"/>
          <w:lang w:val="et-EE"/>
        </w:rPr>
        <w:t>ääsetavad.</w:t>
      </w:r>
    </w:p>
    <w:p w14:paraId="083FE460" w14:textId="77777777" w:rsidR="00214D57" w:rsidRDefault="00214D57" w:rsidP="33104949">
      <w:pPr>
        <w:spacing w:after="160" w:line="257" w:lineRule="auto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</w:p>
    <w:p w14:paraId="3A4EB4E5" w14:textId="77A89EEE" w:rsidR="00214D57" w:rsidRPr="005B1E0E" w:rsidRDefault="00772B4B" w:rsidP="00214D57">
      <w:pPr>
        <w:spacing w:after="160" w:line="257" w:lineRule="auto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  <w:r w:rsidRPr="00772B4B">
        <w:rPr>
          <w:rFonts w:asciiTheme="minorHAnsi" w:eastAsia="Times New Roman" w:hAnsiTheme="minorHAnsi" w:cstheme="minorHAnsi"/>
          <w:sz w:val="24"/>
          <w:szCs w:val="24"/>
          <w:lang w:val="et-EE"/>
        </w:rPr>
        <w:t>Ligipääsetavus on elukaareülene kontseptsioon, mis keskendub elukeskkonna, välialade ja hoonete kujundamisele</w:t>
      </w:r>
      <w:r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 lähtudes</w:t>
      </w:r>
      <w:r w:rsidRPr="00772B4B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 universaalse disaini </w:t>
      </w:r>
      <w:r>
        <w:rPr>
          <w:rFonts w:asciiTheme="minorHAnsi" w:eastAsia="Times New Roman" w:hAnsiTheme="minorHAnsi" w:cstheme="minorHAnsi"/>
          <w:sz w:val="24"/>
          <w:szCs w:val="24"/>
          <w:lang w:val="et-EE"/>
        </w:rPr>
        <w:t>printsiipidest</w:t>
      </w:r>
      <w:r w:rsidRPr="00772B4B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 ja kasutatavuse</w:t>
      </w:r>
      <w:r>
        <w:rPr>
          <w:rFonts w:asciiTheme="minorHAnsi" w:eastAsia="Times New Roman" w:hAnsiTheme="minorHAnsi" w:cstheme="minorHAnsi"/>
          <w:sz w:val="24"/>
          <w:szCs w:val="24"/>
          <w:lang w:val="et-EE"/>
        </w:rPr>
        <w:t>st</w:t>
      </w:r>
      <w:r w:rsidRPr="00772B4B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. See lähenemine arvestab mitte ainult puuetega inimeste, vaid ka teiste ühiskonnagruppide, </w:t>
      </w:r>
      <w:r>
        <w:rPr>
          <w:rFonts w:asciiTheme="minorHAnsi" w:eastAsia="Times New Roman" w:hAnsiTheme="minorHAnsi" w:cstheme="minorHAnsi"/>
          <w:sz w:val="24"/>
          <w:szCs w:val="24"/>
          <w:lang w:val="et-EE"/>
        </w:rPr>
        <w:t>nagu</w:t>
      </w:r>
      <w:r w:rsidRPr="00772B4B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 laste, </w:t>
      </w:r>
      <w:r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väikelaste </w:t>
      </w:r>
      <w:r w:rsidRPr="00772B4B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vanemate, </w:t>
      </w:r>
      <w:r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noorte, </w:t>
      </w:r>
      <w:r w:rsidRPr="00772B4B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eakate ja ajutise vigastusega inimeste ligipääsetavuse vajadustega. Ligipääsetava keskkonna loomine tagab, et kõik inimesed saavad </w:t>
      </w:r>
      <w:r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osaleda ühiskonnaelus. </w:t>
      </w:r>
      <w:r w:rsidR="00214D57" w:rsidRPr="00214D57">
        <w:rPr>
          <w:rFonts w:asciiTheme="minorHAnsi" w:eastAsia="Times New Roman" w:hAnsiTheme="minorHAnsi" w:cstheme="minorHAnsi"/>
          <w:sz w:val="24"/>
          <w:szCs w:val="24"/>
          <w:lang w:val="et-EE"/>
        </w:rPr>
        <w:t>Välialad ja avalikud hooned, kus </w:t>
      </w:r>
      <w:r w:rsidR="00214D57" w:rsidRPr="00214D57">
        <w:rPr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t>osutatakse avalikkusele suunatud teenust</w:t>
      </w:r>
      <w:r w:rsidR="00214D57" w:rsidRPr="00214D57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 peavad vastama puudega inimeste erivajadustest tulenevatele nõuetele.</w:t>
      </w:r>
    </w:p>
    <w:p w14:paraId="5EB318E3" w14:textId="77777777" w:rsidR="006131E0" w:rsidRDefault="005B1E0E" w:rsidP="00990C3A">
      <w:pPr>
        <w:numPr>
          <w:ilvl w:val="0"/>
          <w:numId w:val="4"/>
        </w:numPr>
        <w:spacing w:after="160" w:line="240" w:lineRule="auto"/>
        <w:jc w:val="both"/>
        <w:rPr>
          <w:rFonts w:asciiTheme="minorHAnsi" w:eastAsia="Aptos" w:hAnsiTheme="minorHAnsi" w:cstheme="minorHAnsi"/>
          <w:sz w:val="24"/>
          <w:szCs w:val="24"/>
          <w:lang w:val="et-EE"/>
        </w:rPr>
      </w:pPr>
      <w:r w:rsidRPr="005B1E0E">
        <w:rPr>
          <w:rFonts w:asciiTheme="minorHAnsi" w:eastAsia="Aptos" w:hAnsiTheme="minorHAnsi" w:cstheme="minorHAnsi"/>
          <w:sz w:val="24"/>
          <w:szCs w:val="24"/>
          <w:lang w:val="et-EE"/>
        </w:rPr>
        <w:t>Iga uue algatuse puhul tuleb </w:t>
      </w:r>
      <w:r w:rsidRPr="005B1E0E">
        <w:rPr>
          <w:rFonts w:asciiTheme="minorHAnsi" w:eastAsia="Aptos" w:hAnsiTheme="minorHAnsi" w:cstheme="minorHAnsi"/>
          <w:b/>
          <w:bCs/>
          <w:sz w:val="24"/>
          <w:szCs w:val="24"/>
          <w:lang w:val="et-EE"/>
        </w:rPr>
        <w:t>kohe projekti algfaasis</w:t>
      </w:r>
      <w:r w:rsidRPr="005B1E0E">
        <w:rPr>
          <w:rFonts w:asciiTheme="minorHAnsi" w:eastAsia="Aptos" w:hAnsiTheme="minorHAnsi" w:cstheme="minorHAnsi"/>
          <w:sz w:val="24"/>
          <w:szCs w:val="24"/>
          <w:lang w:val="et-EE"/>
        </w:rPr>
        <w:t xml:space="preserve"> läbi mõelda, kuidas hakkavad keskkonda kasutama või infoväljas orienteeruma erinevad kasutajad nagu lapsed, </w:t>
      </w:r>
      <w:r w:rsidR="006131E0" w:rsidRPr="006131E0">
        <w:rPr>
          <w:rFonts w:asciiTheme="minorHAnsi" w:eastAsia="Aptos" w:hAnsiTheme="minorHAnsi" w:cstheme="minorHAnsi"/>
          <w:sz w:val="24"/>
          <w:szCs w:val="24"/>
          <w:lang w:val="et-EE"/>
        </w:rPr>
        <w:t xml:space="preserve">noored, </w:t>
      </w:r>
      <w:r w:rsidRPr="005B1E0E">
        <w:rPr>
          <w:rFonts w:asciiTheme="minorHAnsi" w:eastAsia="Aptos" w:hAnsiTheme="minorHAnsi" w:cstheme="minorHAnsi"/>
          <w:sz w:val="24"/>
          <w:szCs w:val="24"/>
          <w:lang w:val="et-EE"/>
        </w:rPr>
        <w:t xml:space="preserve">eakad, </w:t>
      </w:r>
      <w:r w:rsidR="006131E0" w:rsidRPr="006131E0">
        <w:rPr>
          <w:rFonts w:asciiTheme="minorHAnsi" w:eastAsia="Aptos" w:hAnsiTheme="minorHAnsi" w:cstheme="minorHAnsi"/>
          <w:sz w:val="24"/>
          <w:szCs w:val="24"/>
          <w:lang w:val="et-EE"/>
        </w:rPr>
        <w:t>puuetega või ka ajutise</w:t>
      </w:r>
      <w:r w:rsidRPr="005B1E0E">
        <w:rPr>
          <w:rFonts w:asciiTheme="minorHAnsi" w:eastAsia="Aptos" w:hAnsiTheme="minorHAnsi" w:cstheme="minorHAnsi"/>
          <w:sz w:val="24"/>
          <w:szCs w:val="24"/>
          <w:lang w:val="et-EE"/>
        </w:rPr>
        <w:t xml:space="preserve"> liikumisraskusega inimesed.  </w:t>
      </w:r>
    </w:p>
    <w:p w14:paraId="2A3F50B7" w14:textId="6CBB0B72" w:rsidR="006131E0" w:rsidRPr="00772B4B" w:rsidRDefault="006131E0" w:rsidP="00990C3A">
      <w:pPr>
        <w:numPr>
          <w:ilvl w:val="0"/>
          <w:numId w:val="4"/>
        </w:numPr>
        <w:spacing w:after="160" w:line="240" w:lineRule="auto"/>
        <w:jc w:val="both"/>
        <w:rPr>
          <w:rFonts w:asciiTheme="minorHAnsi" w:eastAsia="Aptos" w:hAnsiTheme="minorHAnsi" w:cstheme="minorHAnsi"/>
          <w:sz w:val="24"/>
          <w:szCs w:val="24"/>
          <w:lang w:val="et-EE"/>
        </w:rPr>
      </w:pPr>
      <w:r w:rsidRPr="006131E0">
        <w:rPr>
          <w:rFonts w:asciiTheme="minorHAnsi" w:eastAsia="Times New Roman" w:hAnsiTheme="minorHAnsi" w:cstheme="minorHAnsi"/>
          <w:sz w:val="24"/>
          <w:szCs w:val="24"/>
          <w:lang w:val="et-EE"/>
        </w:rPr>
        <w:t>Ehituslike projektide puhul mõeldakse läbi </w:t>
      </w:r>
      <w:r w:rsidRPr="006131E0">
        <w:rPr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t>nägemis- ja liikumispuudega inimeste liikumisteed</w:t>
      </w:r>
      <w:r w:rsidRPr="006131E0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 hoones ja selle ümbruses juba eelprojekti staadiumis ja alates lähimast ühistranspordipeatusest ning parklast. </w:t>
      </w:r>
    </w:p>
    <w:p w14:paraId="517A2922" w14:textId="5CC5E1C2" w:rsidR="00772B4B" w:rsidRPr="006131E0" w:rsidRDefault="00772B4B" w:rsidP="00990C3A">
      <w:pPr>
        <w:numPr>
          <w:ilvl w:val="0"/>
          <w:numId w:val="4"/>
        </w:numPr>
        <w:spacing w:after="160" w:line="240" w:lineRule="auto"/>
        <w:jc w:val="both"/>
        <w:rPr>
          <w:rFonts w:asciiTheme="minorHAnsi" w:eastAsia="Aptos" w:hAnsiTheme="minorHAnsi" w:cstheme="minorHAnsi"/>
          <w:sz w:val="24"/>
          <w:szCs w:val="24"/>
          <w:lang w:val="et-EE"/>
        </w:rPr>
      </w:pPr>
      <w:r w:rsidRPr="00772B4B">
        <w:rPr>
          <w:rFonts w:asciiTheme="minorHAnsi" w:eastAsia="Aptos" w:hAnsiTheme="minorHAnsi" w:cstheme="minorHAnsi"/>
          <w:sz w:val="24"/>
          <w:szCs w:val="24"/>
          <w:lang w:val="et-EE"/>
        </w:rPr>
        <w:t>Keskkonna planeerimisel tuleb arvesse võtta kõiki meeli</w:t>
      </w:r>
      <w:r>
        <w:rPr>
          <w:rFonts w:asciiTheme="minorHAnsi" w:eastAsia="Aptos" w:hAnsiTheme="minorHAnsi" w:cstheme="minorHAnsi"/>
          <w:sz w:val="24"/>
          <w:szCs w:val="24"/>
          <w:lang w:val="et-EE"/>
        </w:rPr>
        <w:t xml:space="preserve"> ning </w:t>
      </w:r>
      <w:r w:rsidRPr="00772B4B">
        <w:rPr>
          <w:rFonts w:asciiTheme="minorHAnsi" w:eastAsia="Aptos" w:hAnsiTheme="minorHAnsi" w:cstheme="minorHAnsi"/>
          <w:sz w:val="24"/>
          <w:szCs w:val="24"/>
          <w:lang w:val="et-EE"/>
        </w:rPr>
        <w:t>järgid</w:t>
      </w:r>
      <w:r>
        <w:rPr>
          <w:rFonts w:asciiTheme="minorHAnsi" w:eastAsia="Aptos" w:hAnsiTheme="minorHAnsi" w:cstheme="minorHAnsi"/>
          <w:sz w:val="24"/>
          <w:szCs w:val="24"/>
          <w:lang w:val="et-EE"/>
        </w:rPr>
        <w:t>a</w:t>
      </w:r>
      <w:r w:rsidRPr="00772B4B">
        <w:rPr>
          <w:rFonts w:asciiTheme="minorHAnsi" w:eastAsia="Aptos" w:hAnsiTheme="minorHAnsi" w:cstheme="minorHAnsi"/>
          <w:sz w:val="24"/>
          <w:szCs w:val="24"/>
          <w:lang w:val="et-EE"/>
        </w:rPr>
        <w:t xml:space="preserve"> universaalse disaini põhimõtteid.</w:t>
      </w:r>
    </w:p>
    <w:p w14:paraId="20E4BC4A" w14:textId="357024C4" w:rsidR="006131E0" w:rsidRPr="006131E0" w:rsidRDefault="005B1E0E" w:rsidP="00990C3A">
      <w:pPr>
        <w:pStyle w:val="Loendilik"/>
        <w:numPr>
          <w:ilvl w:val="0"/>
          <w:numId w:val="4"/>
        </w:numPr>
        <w:spacing w:after="160" w:line="240" w:lineRule="auto"/>
        <w:jc w:val="both"/>
        <w:rPr>
          <w:rFonts w:asciiTheme="minorHAnsi" w:eastAsia="Aptos" w:hAnsiTheme="minorHAnsi" w:cstheme="minorHAnsi"/>
          <w:sz w:val="24"/>
          <w:szCs w:val="24"/>
          <w:lang w:val="et-EE"/>
        </w:rPr>
      </w:pPr>
      <w:r w:rsidRPr="005B1E0E">
        <w:rPr>
          <w:rFonts w:asciiTheme="minorHAnsi" w:eastAsia="Aptos" w:hAnsiTheme="minorHAnsi" w:cstheme="minorHAnsi"/>
          <w:sz w:val="24"/>
          <w:szCs w:val="24"/>
          <w:lang w:val="et-EE"/>
        </w:rPr>
        <w:t xml:space="preserve">Vastutus välialade ja hoone ligipääsetavuse nõuetele vastamise eest kuulub omanikule ning riikliku järelevalve menetluses tuvastatud vigade parandamise eest vastutab omanik. </w:t>
      </w:r>
    </w:p>
    <w:p w14:paraId="5A45459E" w14:textId="6F36B5AE" w:rsidR="005B1E0E" w:rsidRPr="00FA490C" w:rsidRDefault="005B1E0E" w:rsidP="00990C3A">
      <w:pPr>
        <w:numPr>
          <w:ilvl w:val="0"/>
          <w:numId w:val="4"/>
        </w:numPr>
        <w:spacing w:after="160" w:line="240" w:lineRule="auto"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val="et-EE"/>
        </w:rPr>
      </w:pPr>
      <w:r w:rsidRPr="00FA490C">
        <w:rPr>
          <w:rFonts w:asciiTheme="minorHAnsi" w:eastAsia="Aptos" w:hAnsiTheme="minorHAnsi" w:cstheme="minorHAnsi"/>
          <w:b/>
          <w:bCs/>
          <w:sz w:val="24"/>
          <w:szCs w:val="24"/>
          <w:lang w:val="et-EE"/>
        </w:rPr>
        <w:t xml:space="preserve">Omaniku kui tellija teadlikkus on oluline, et anda juba algselt vajalik sisend hoone arhitektidele ja projekteerijatele. </w:t>
      </w:r>
    </w:p>
    <w:p w14:paraId="2C6A18D7" w14:textId="77777777" w:rsidR="00835CED" w:rsidRPr="00835CED" w:rsidRDefault="00835CED" w:rsidP="00214D57">
      <w:pPr>
        <w:pStyle w:val="Loendilik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</w:p>
    <w:p w14:paraId="5E50C9C9" w14:textId="6585B970" w:rsidR="0042643F" w:rsidRPr="0006172A" w:rsidRDefault="00772B4B" w:rsidP="003E74F5">
      <w:pPr>
        <w:spacing w:after="0" w:line="240" w:lineRule="auto"/>
        <w:jc w:val="both"/>
        <w:rPr>
          <w:rStyle w:val="Tugev"/>
          <w:rFonts w:asciiTheme="minorHAnsi" w:hAnsiTheme="minorHAnsi" w:cstheme="minorHAnsi"/>
          <w:sz w:val="32"/>
          <w:szCs w:val="32"/>
          <w:lang w:val="et-EE"/>
        </w:rPr>
      </w:pPr>
      <w:r>
        <w:rPr>
          <w:rStyle w:val="Tugev"/>
          <w:rFonts w:asciiTheme="minorHAnsi" w:hAnsiTheme="minorHAnsi" w:cstheme="minorHAnsi"/>
          <w:sz w:val="32"/>
          <w:szCs w:val="32"/>
          <w:lang w:val="et-EE"/>
        </w:rPr>
        <w:t>Abimaterjalid ja seadusandlus</w:t>
      </w:r>
    </w:p>
    <w:p w14:paraId="70B27D61" w14:textId="77777777" w:rsidR="000935D1" w:rsidRDefault="000935D1" w:rsidP="006170E0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</w:p>
    <w:p w14:paraId="1F01970B" w14:textId="77777777" w:rsidR="000935D1" w:rsidRDefault="0006172A" w:rsidP="006170E0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  <w:r w:rsidRPr="008E439E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Avalikule ruumile mõeldud ligipääsetavuse miinimumnõudeid sätestab ettevõtlus- ja infotehnoloogiministri </w:t>
      </w:r>
      <w:r w:rsidRPr="006170E0">
        <w:rPr>
          <w:rFonts w:asciiTheme="minorHAnsi" w:eastAsia="Times New Roman" w:hAnsiTheme="minorHAnsi" w:cstheme="minorHAnsi"/>
          <w:sz w:val="24"/>
          <w:szCs w:val="24"/>
          <w:lang w:val="et-EE"/>
        </w:rPr>
        <w:t>määrus number 28</w:t>
      </w:r>
      <w:r w:rsidRPr="008E439E">
        <w:rPr>
          <w:rFonts w:asciiTheme="minorHAnsi" w:eastAsia="Times New Roman" w:hAnsiTheme="minorHAnsi" w:cstheme="minorHAnsi"/>
          <w:sz w:val="24"/>
          <w:szCs w:val="24"/>
          <w:lang w:val="et-EE"/>
        </w:rPr>
        <w:t> </w:t>
      </w:r>
      <w:r>
        <w:fldChar w:fldCharType="begin"/>
      </w:r>
      <w:r w:rsidRPr="00FA490C">
        <w:rPr>
          <w:lang w:val="et-EE"/>
        </w:rPr>
        <w:instrText>HYPERLINK "https://www.riigiteataja.ee/akt/131052018055"</w:instrText>
      </w:r>
      <w:r>
        <w:fldChar w:fldCharType="separate"/>
      </w:r>
      <w:r w:rsidRPr="006170E0">
        <w:rPr>
          <w:rStyle w:val="Hperlink"/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t xml:space="preserve">Puudega inimeste erivajadusest tulenevad nõuded </w:t>
      </w:r>
      <w:r w:rsidRPr="006170E0">
        <w:rPr>
          <w:rStyle w:val="Hperlink"/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lastRenderedPageBreak/>
        <w:t>ehitisele</w:t>
      </w:r>
      <w:r>
        <w:rPr>
          <w:rStyle w:val="Hperlink"/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fldChar w:fldCharType="end"/>
      </w:r>
      <w:r w:rsidRPr="008E439E">
        <w:rPr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t xml:space="preserve">. </w:t>
      </w:r>
      <w:r w:rsidRPr="008E439E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Tarbijakaitse ja Tehnilise Järelevalve Amet (TTJA) teostab riiklikku järelevalvet </w:t>
      </w:r>
      <w:r>
        <w:fldChar w:fldCharType="begin"/>
      </w:r>
      <w:r w:rsidRPr="00FA490C">
        <w:rPr>
          <w:lang w:val="et-EE"/>
        </w:rPr>
        <w:instrText>HYPERLINK "https://ttja.ee/ariklient/ehitised-ehitamine/ligipaasetavus"</w:instrText>
      </w:r>
      <w:r>
        <w:fldChar w:fldCharType="separate"/>
      </w:r>
      <w:r w:rsidRPr="008E439E"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t>Lisainfot TTJA kodulehel</w:t>
      </w:r>
      <w:r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fldChar w:fldCharType="end"/>
      </w:r>
      <w:r w:rsidRPr="008E439E">
        <w:rPr>
          <w:rFonts w:asciiTheme="minorHAnsi" w:eastAsia="Times New Roman" w:hAnsiTheme="minorHAnsi" w:cstheme="minorHAnsi"/>
          <w:sz w:val="24"/>
          <w:szCs w:val="24"/>
          <w:lang w:val="et-EE"/>
        </w:rPr>
        <w:t>.</w:t>
      </w:r>
    </w:p>
    <w:p w14:paraId="5FE8858A" w14:textId="77777777" w:rsidR="000935D1" w:rsidRDefault="000935D1" w:rsidP="006170E0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</w:p>
    <w:p w14:paraId="78400A89" w14:textId="77777777" w:rsidR="000935D1" w:rsidRPr="000935D1" w:rsidRDefault="000935D1" w:rsidP="00990C3A">
      <w:pPr>
        <w:pStyle w:val="Loendilik"/>
        <w:numPr>
          <w:ilvl w:val="0"/>
          <w:numId w:val="8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  <w:r>
        <w:fldChar w:fldCharType="begin"/>
      </w:r>
      <w:r w:rsidRPr="00FA490C">
        <w:rPr>
          <w:lang w:val="nb-NO"/>
        </w:rPr>
        <w:instrText>HYPERLINK "https://ttja.ee/sites/default/files/documents/2020-10/M%C3%A4%C3%A4ruse%20nr%2028%20enesekontrolli%20leht%20%28PDF%29.pdf"</w:instrText>
      </w:r>
      <w:r>
        <w:fldChar w:fldCharType="separate"/>
      </w:r>
      <w:r w:rsidRPr="000935D1"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t>Määrus 28 enesekontrollileht</w:t>
      </w:r>
      <w:r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fldChar w:fldCharType="end"/>
      </w:r>
      <w:r w:rsidRPr="000935D1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 võib olla juhiks projektis nõuetele vastamise kontrollimisel. </w:t>
      </w:r>
      <w:r w:rsidR="0006172A" w:rsidRPr="000935D1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 </w:t>
      </w:r>
    </w:p>
    <w:p w14:paraId="48726522" w14:textId="380022B3" w:rsidR="0006172A" w:rsidRPr="000935D1" w:rsidRDefault="0006172A" w:rsidP="00990C3A">
      <w:pPr>
        <w:pStyle w:val="Loendilik"/>
        <w:numPr>
          <w:ilvl w:val="0"/>
          <w:numId w:val="8"/>
        </w:numPr>
        <w:spacing w:after="0"/>
        <w:jc w:val="both"/>
        <w:rPr>
          <w:rFonts w:eastAsia="Times New Roman" w:cstheme="minorHAnsi"/>
          <w:sz w:val="24"/>
          <w:szCs w:val="24"/>
          <w:lang w:val="et-EE"/>
        </w:rPr>
      </w:pPr>
      <w:r w:rsidRPr="000935D1">
        <w:rPr>
          <w:rFonts w:asciiTheme="minorHAnsi" w:eastAsia="Times New Roman" w:hAnsiTheme="minorHAnsi" w:cstheme="minorHAnsi"/>
          <w:sz w:val="24"/>
          <w:szCs w:val="24"/>
          <w:lang w:val="et-EE"/>
        </w:rPr>
        <w:t>TTJA kooskõlastab ehitusprojekte ligipääsetavuse vaates.</w:t>
      </w:r>
    </w:p>
    <w:p w14:paraId="679EA9EF" w14:textId="77777777" w:rsidR="0006172A" w:rsidRDefault="0006172A" w:rsidP="000617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t-EE"/>
        </w:rPr>
      </w:pPr>
    </w:p>
    <w:p w14:paraId="17302C18" w14:textId="6B8EAB04" w:rsidR="006170E0" w:rsidRPr="006170E0" w:rsidRDefault="006170E0" w:rsidP="0006172A">
      <w:pPr>
        <w:spacing w:after="0" w:line="240" w:lineRule="auto"/>
        <w:jc w:val="both"/>
        <w:rPr>
          <w:rStyle w:val="Tugev"/>
          <w:rFonts w:asciiTheme="majorHAnsi" w:hAnsiTheme="majorHAnsi"/>
          <w:sz w:val="28"/>
          <w:szCs w:val="28"/>
          <w:lang w:val="et-EE"/>
        </w:rPr>
      </w:pPr>
      <w:r w:rsidRPr="006170E0">
        <w:rPr>
          <w:rStyle w:val="Tugev"/>
          <w:rFonts w:asciiTheme="majorHAnsi" w:hAnsiTheme="majorHAnsi"/>
          <w:sz w:val="28"/>
          <w:szCs w:val="28"/>
          <w:lang w:val="et-EE"/>
        </w:rPr>
        <w:t>Juhendid ligipääsetava keskkonna disainimiseks:</w:t>
      </w:r>
    </w:p>
    <w:p w14:paraId="4B754BCD" w14:textId="77777777" w:rsidR="006170E0" w:rsidRDefault="006170E0" w:rsidP="000617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t-EE"/>
        </w:rPr>
      </w:pPr>
    </w:p>
    <w:p w14:paraId="5DCA1922" w14:textId="7FDEEB49" w:rsidR="00253D8B" w:rsidRPr="00253D8B" w:rsidRDefault="0006172A" w:rsidP="006131E0">
      <w:pPr>
        <w:pStyle w:val="Loendilik"/>
        <w:numPr>
          <w:ilvl w:val="0"/>
          <w:numId w:val="6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  <w:r w:rsidRPr="00253D8B">
        <w:rPr>
          <w:rFonts w:eastAsia="Times New Roman" w:cstheme="minorHAnsi"/>
          <w:sz w:val="24"/>
          <w:szCs w:val="24"/>
          <w:lang w:val="et-EE"/>
        </w:rPr>
        <w:t xml:space="preserve">Projekteerimisjuhend </w:t>
      </w:r>
      <w:r w:rsidR="00990C3A" w:rsidRPr="00253D8B">
        <w:rPr>
          <w:rFonts w:eastAsia="Times New Roman" w:cstheme="minorHAnsi"/>
          <w:sz w:val="24"/>
          <w:szCs w:val="24"/>
          <w:lang w:val="et-EE"/>
        </w:rPr>
        <w:t>„</w:t>
      </w:r>
      <w:r w:rsidR="00990C3A">
        <w:fldChar w:fldCharType="begin"/>
      </w:r>
      <w:r w:rsidR="00990C3A" w:rsidRPr="00FA490C">
        <w:rPr>
          <w:lang w:val="et-EE"/>
        </w:rPr>
        <w:instrText>HYPERLINK "https://pimedateliit.ee/projekteerimisjuhend/"</w:instrText>
      </w:r>
      <w:r w:rsidR="00990C3A">
        <w:fldChar w:fldCharType="separate"/>
      </w:r>
      <w:r w:rsidR="00990C3A" w:rsidRPr="00253D8B">
        <w:rPr>
          <w:rStyle w:val="Hperlink"/>
          <w:rFonts w:eastAsia="Times New Roman" w:cstheme="minorHAnsi"/>
          <w:sz w:val="24"/>
          <w:szCs w:val="24"/>
          <w:lang w:val="et-EE"/>
        </w:rPr>
        <w:t>Nägemispuudega inimestele ligipääsetav keskkond</w:t>
      </w:r>
      <w:r w:rsidR="00990C3A">
        <w:rPr>
          <w:rStyle w:val="Hperlink"/>
          <w:rFonts w:eastAsia="Times New Roman" w:cstheme="minorHAnsi"/>
          <w:sz w:val="24"/>
          <w:szCs w:val="24"/>
          <w:lang w:val="et-EE"/>
        </w:rPr>
        <w:fldChar w:fldCharType="end"/>
      </w:r>
      <w:r w:rsidR="00990C3A" w:rsidRPr="00253D8B">
        <w:rPr>
          <w:rFonts w:eastAsia="Times New Roman" w:cstheme="minorHAnsi"/>
          <w:sz w:val="24"/>
          <w:szCs w:val="24"/>
          <w:lang w:val="et-EE"/>
        </w:rPr>
        <w:t>“</w:t>
      </w:r>
      <w:r w:rsidRPr="00253D8B">
        <w:rPr>
          <w:rFonts w:eastAsia="Times New Roman" w:cstheme="minorHAnsi"/>
          <w:sz w:val="24"/>
          <w:szCs w:val="24"/>
          <w:lang w:val="et-EE"/>
        </w:rPr>
        <w:t xml:space="preserve"> annab suunised </w:t>
      </w:r>
      <w:r w:rsidR="00D626A0">
        <w:rPr>
          <w:rFonts w:eastAsia="Times New Roman" w:cstheme="minorHAnsi"/>
          <w:sz w:val="24"/>
          <w:szCs w:val="24"/>
          <w:lang w:val="et-EE"/>
        </w:rPr>
        <w:t xml:space="preserve">ligipääsetava </w:t>
      </w:r>
      <w:r w:rsidRPr="00253D8B">
        <w:rPr>
          <w:rFonts w:eastAsia="Times New Roman" w:cstheme="minorHAnsi"/>
          <w:sz w:val="24"/>
          <w:szCs w:val="24"/>
          <w:lang w:val="et-EE"/>
        </w:rPr>
        <w:t>keskkonna loomisel nägemispuude vaates</w:t>
      </w:r>
      <w:r w:rsidR="00253D8B">
        <w:rPr>
          <w:rFonts w:eastAsia="Times New Roman" w:cstheme="minorHAnsi"/>
          <w:sz w:val="24"/>
          <w:szCs w:val="24"/>
          <w:lang w:val="et-EE"/>
        </w:rPr>
        <w:t>;</w:t>
      </w:r>
    </w:p>
    <w:p w14:paraId="7205F420" w14:textId="78009F6B" w:rsidR="00253D8B" w:rsidRPr="00253D8B" w:rsidRDefault="0006172A" w:rsidP="006131E0">
      <w:pPr>
        <w:pStyle w:val="Loendilik"/>
        <w:numPr>
          <w:ilvl w:val="0"/>
          <w:numId w:val="6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  <w:r w:rsidRPr="00253D8B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Eesti Liikumispuudega Inimeste Liidu </w:t>
      </w:r>
      <w:r w:rsidR="00D626A0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koostatud </w:t>
      </w:r>
      <w:r w:rsidRPr="00253D8B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juhend </w:t>
      </w:r>
      <w:r w:rsidR="00253D8B">
        <w:fldChar w:fldCharType="begin"/>
      </w:r>
      <w:r w:rsidR="00253D8B" w:rsidRPr="00FA490C">
        <w:rPr>
          <w:lang w:val="et-EE"/>
        </w:rPr>
        <w:instrText>HYPERLINK "https://epikoda.ee/media/pages/mida-me-teeme/ligipaasetavus/juhendid-ja-tugimaterjalid/384fb492c2-1712813985/ligipaasetavuse-juhend-eesti-liikumispuudega-inimeste-liit.pdf" \t "_self"</w:instrText>
      </w:r>
      <w:r w:rsidR="00253D8B">
        <w:fldChar w:fldCharType="separate"/>
      </w:r>
      <w:r w:rsidR="00253D8B" w:rsidRPr="00050876"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t>füüsilise ligipääsu tagamiseks avalikus ruumis</w:t>
      </w:r>
      <w:r w:rsidR="00253D8B"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fldChar w:fldCharType="end"/>
      </w:r>
      <w:r w:rsidR="00253D8B">
        <w:rPr>
          <w:rFonts w:asciiTheme="minorHAnsi" w:eastAsia="Times New Roman" w:hAnsiTheme="minorHAnsi" w:cstheme="minorHAnsi"/>
          <w:sz w:val="24"/>
          <w:szCs w:val="24"/>
          <w:lang w:val="et-EE"/>
        </w:rPr>
        <w:t>;</w:t>
      </w:r>
    </w:p>
    <w:p w14:paraId="41FBE5CE" w14:textId="53FDE47F" w:rsidR="0006172A" w:rsidRPr="00253D8B" w:rsidRDefault="0006172A" w:rsidP="006131E0">
      <w:pPr>
        <w:pStyle w:val="Loendilik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4"/>
          <w:lang w:val="et-EE"/>
        </w:rPr>
      </w:pPr>
      <w:r w:rsidRPr="00253D8B">
        <w:rPr>
          <w:rFonts w:eastAsia="Times New Roman" w:cstheme="minorHAnsi"/>
          <w:sz w:val="24"/>
          <w:szCs w:val="24"/>
          <w:lang w:val="et-EE"/>
        </w:rPr>
        <w:t>Astangu Kutserehabilitatsiooni Keskus juhendmaterjali “</w:t>
      </w:r>
      <w:r>
        <w:fldChar w:fldCharType="begin"/>
      </w:r>
      <w:r w:rsidRPr="00FA490C">
        <w:rPr>
          <w:lang w:val="et-EE"/>
        </w:rPr>
        <w:instrText>HYPERLINK "https://www.astangu.ee/sites/default/files/media/koiki_kaasava_elukeskkonna_kavandamine_loomine.pdf"</w:instrText>
      </w:r>
      <w:r>
        <w:fldChar w:fldCharType="separate"/>
      </w:r>
      <w:r w:rsidRPr="00253D8B">
        <w:rPr>
          <w:rStyle w:val="Hperlink"/>
          <w:rFonts w:eastAsia="Times New Roman" w:cstheme="minorHAnsi"/>
          <w:sz w:val="24"/>
          <w:szCs w:val="24"/>
          <w:lang w:val="et-EE"/>
        </w:rPr>
        <w:t>Kõiki kaasava elukeskkonna kavandamine ja loomine</w:t>
      </w:r>
      <w:r>
        <w:rPr>
          <w:rStyle w:val="Hperlink"/>
          <w:rFonts w:eastAsia="Times New Roman" w:cstheme="minorHAnsi"/>
          <w:sz w:val="24"/>
          <w:szCs w:val="24"/>
          <w:lang w:val="et-EE"/>
        </w:rPr>
        <w:fldChar w:fldCharType="end"/>
      </w:r>
      <w:r w:rsidRPr="00253D8B">
        <w:rPr>
          <w:rFonts w:eastAsia="Times New Roman" w:cstheme="minorHAnsi"/>
          <w:sz w:val="24"/>
          <w:szCs w:val="24"/>
          <w:lang w:val="et-EE"/>
        </w:rPr>
        <w:t>” .</w:t>
      </w:r>
    </w:p>
    <w:p w14:paraId="4413AFF4" w14:textId="77777777" w:rsidR="00D12D91" w:rsidRPr="005B1E0E" w:rsidRDefault="00D12D91" w:rsidP="003E74F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</w:p>
    <w:p w14:paraId="49FF68DF" w14:textId="5062AAD1" w:rsidR="00D12D91" w:rsidRDefault="003E74F5" w:rsidP="003E74F5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  <w:sz w:val="28"/>
          <w:szCs w:val="28"/>
          <w:lang w:val="et-EE"/>
        </w:rPr>
      </w:pPr>
      <w:r w:rsidRPr="006170E0">
        <w:rPr>
          <w:rFonts w:asciiTheme="majorHAnsi" w:eastAsia="Times New Roman" w:hAnsiTheme="majorHAnsi" w:cstheme="minorHAnsi"/>
          <w:b/>
          <w:bCs/>
          <w:sz w:val="28"/>
          <w:szCs w:val="28"/>
          <w:lang w:val="et-EE"/>
        </w:rPr>
        <w:t>E-keskkonnad ja v</w:t>
      </w:r>
      <w:r w:rsidR="0042643F" w:rsidRPr="006170E0">
        <w:rPr>
          <w:rFonts w:asciiTheme="majorHAnsi" w:eastAsia="Times New Roman" w:hAnsiTheme="majorHAnsi" w:cstheme="minorHAnsi"/>
          <w:b/>
          <w:bCs/>
          <w:sz w:val="28"/>
          <w:szCs w:val="28"/>
          <w:lang w:val="et-EE"/>
        </w:rPr>
        <w:t>eebilehed</w:t>
      </w:r>
      <w:r w:rsidRPr="006170E0">
        <w:rPr>
          <w:rFonts w:asciiTheme="majorHAnsi" w:eastAsia="Times New Roman" w:hAnsiTheme="majorHAnsi" w:cstheme="minorHAnsi"/>
          <w:b/>
          <w:bCs/>
          <w:sz w:val="28"/>
          <w:szCs w:val="28"/>
          <w:lang w:val="et-EE"/>
        </w:rPr>
        <w:t xml:space="preserve"> (digiligipääsetavus)</w:t>
      </w:r>
    </w:p>
    <w:p w14:paraId="0BB6B76F" w14:textId="77777777" w:rsidR="006170E0" w:rsidRPr="006170E0" w:rsidRDefault="006170E0" w:rsidP="003E74F5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  <w:sz w:val="28"/>
          <w:szCs w:val="28"/>
          <w:lang w:val="et-EE"/>
        </w:rPr>
      </w:pPr>
    </w:p>
    <w:p w14:paraId="31707045" w14:textId="77777777" w:rsidR="00790899" w:rsidRDefault="00D12D91" w:rsidP="0079089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  <w:r>
        <w:fldChar w:fldCharType="begin"/>
      </w:r>
      <w:r w:rsidRPr="00FA490C">
        <w:rPr>
          <w:lang w:val="et-EE"/>
        </w:rPr>
        <w:instrText>HYPERLINK "https://www.riigiteataja.ee/akt/115062022001" \t "_blank"</w:instrText>
      </w:r>
      <w:r>
        <w:fldChar w:fldCharType="separate"/>
      </w:r>
      <w:r w:rsidRPr="00790899"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t>Toodete ja teenuste ligipääsetavuse seadus</w:t>
      </w:r>
      <w:r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fldChar w:fldCharType="end"/>
      </w:r>
      <w:r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 põhineb Euroopa digiligipääsetavuse standardil EN 301 549 ning kehtib </w:t>
      </w:r>
      <w:r w:rsidRPr="00790899">
        <w:rPr>
          <w:rFonts w:asciiTheme="minorHAnsi" w:eastAsia="Times New Roman" w:hAnsiTheme="minorHAnsi" w:cstheme="minorHAnsi"/>
          <w:b/>
          <w:bCs/>
          <w:sz w:val="24"/>
          <w:szCs w:val="24"/>
          <w:lang w:val="et-EE"/>
        </w:rPr>
        <w:t>erasektorile alates 28.06.2025</w:t>
      </w:r>
      <w:r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. See tähendab, et e-teenused, nt </w:t>
      </w:r>
      <w:r w:rsidR="00790899"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audiovisuaalmeedia vahendajad, </w:t>
      </w:r>
      <w:r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e-kaubandus, finantsteenused, </w:t>
      </w:r>
      <w:r w:rsidR="00790899"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transpordiasutused, </w:t>
      </w:r>
      <w:r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piletimüügiteenused jne peavad vastama ligipääsetavuse nõuetele. </w:t>
      </w:r>
    </w:p>
    <w:p w14:paraId="45249370" w14:textId="77777777" w:rsidR="00790899" w:rsidRDefault="00790899" w:rsidP="0079089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</w:p>
    <w:p w14:paraId="1AFBB060" w14:textId="740873F8" w:rsidR="00B35EDC" w:rsidRPr="00790899" w:rsidRDefault="00D12D91" w:rsidP="00D57CB5">
      <w:pPr>
        <w:pStyle w:val="Loendilik"/>
        <w:numPr>
          <w:ilvl w:val="0"/>
          <w:numId w:val="7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  <w:r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>Vaata </w:t>
      </w:r>
      <w:r>
        <w:fldChar w:fldCharType="begin"/>
      </w:r>
      <w:r w:rsidRPr="00FA490C">
        <w:rPr>
          <w:lang w:val="et-EE"/>
        </w:rPr>
        <w:instrText>HYPERLINK "https://ttja.ee/eraklient/tarbija-oigused/kaubandus-teenused/digiligipaasetavuse-tagamine" \l "digiligipaasetavuse---2" \t "_blank"</w:instrText>
      </w:r>
      <w:r>
        <w:fldChar w:fldCharType="separate"/>
      </w:r>
      <w:r w:rsidRPr="00790899"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t>digiligipääsetavuse alast nõu</w:t>
      </w:r>
      <w:r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fldChar w:fldCharType="end"/>
      </w:r>
      <w:r w:rsidR="00E136A1"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 ja</w:t>
      </w:r>
      <w:r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> </w:t>
      </w:r>
      <w:r>
        <w:fldChar w:fldCharType="begin"/>
      </w:r>
      <w:r w:rsidRPr="00FA490C">
        <w:rPr>
          <w:lang w:val="et-EE"/>
        </w:rPr>
        <w:instrText>HYPERLINK "https://www.youtube.com/watch?v=yZrY9WSlsis" \t "_blank"</w:instrText>
      </w:r>
      <w:r>
        <w:fldChar w:fldCharType="separate"/>
      </w:r>
      <w:r w:rsidRPr="00790899"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t>õppevideot avaliku sektori nõuetest</w:t>
      </w:r>
      <w:r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fldChar w:fldCharType="end"/>
      </w:r>
      <w:r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>, mis kehtivad ka erasektorile</w:t>
      </w:r>
      <w:r w:rsidR="00E136A1"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 xml:space="preserve">. </w:t>
      </w:r>
    </w:p>
    <w:p w14:paraId="77A7DB66" w14:textId="3CE43CC2" w:rsidR="00D12D91" w:rsidRPr="00790899" w:rsidRDefault="00E136A1" w:rsidP="00D57CB5">
      <w:pPr>
        <w:pStyle w:val="Loendilik"/>
        <w:numPr>
          <w:ilvl w:val="0"/>
          <w:numId w:val="7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  <w:r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>Tutvu</w:t>
      </w:r>
      <w:r w:rsidR="00D12D91"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> </w:t>
      </w:r>
      <w:proofErr w:type="spellStart"/>
      <w:r w:rsidR="00D12D91" w:rsidRPr="00790899">
        <w:fldChar w:fldCharType="begin"/>
      </w:r>
      <w:r w:rsidRPr="00790899">
        <w:rPr>
          <w:rFonts w:asciiTheme="minorHAnsi" w:hAnsiTheme="minorHAnsi" w:cstheme="minorHAnsi"/>
          <w:sz w:val="24"/>
          <w:szCs w:val="24"/>
          <w:lang w:val="et-EE"/>
        </w:rPr>
        <w:instrText>HYPERLINK "https://www.youtube.com/watch?v=yHEguMzEapc&amp;t=6s" \t "_blank"</w:instrText>
      </w:r>
      <w:r w:rsidR="00D12D91" w:rsidRPr="00790899">
        <w:fldChar w:fldCharType="separate"/>
      </w:r>
      <w:r w:rsidRPr="00790899"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t>EPIKoja</w:t>
      </w:r>
      <w:proofErr w:type="spellEnd"/>
      <w:r w:rsidRPr="00790899"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t xml:space="preserve"> õppevideoga digiligipääsetavusest</w:t>
      </w:r>
      <w:r w:rsidR="00D12D91" w:rsidRPr="00790899">
        <w:rPr>
          <w:rStyle w:val="Hperlink"/>
          <w:rFonts w:asciiTheme="minorHAnsi" w:eastAsia="Times New Roman" w:hAnsiTheme="minorHAnsi" w:cstheme="minorHAnsi"/>
          <w:sz w:val="24"/>
          <w:szCs w:val="24"/>
          <w:lang w:val="et-EE"/>
        </w:rPr>
        <w:fldChar w:fldCharType="end"/>
      </w:r>
      <w:r w:rsidR="00D12D91" w:rsidRPr="00790899">
        <w:rPr>
          <w:rFonts w:asciiTheme="minorHAnsi" w:eastAsia="Times New Roman" w:hAnsiTheme="minorHAnsi" w:cstheme="minorHAnsi"/>
          <w:sz w:val="24"/>
          <w:szCs w:val="24"/>
          <w:lang w:val="et-EE"/>
        </w:rPr>
        <w:t>.</w:t>
      </w:r>
    </w:p>
    <w:p w14:paraId="2E5C415C" w14:textId="77777777" w:rsidR="0042304E" w:rsidRPr="005B1E0E" w:rsidRDefault="0042304E" w:rsidP="003E74F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t-EE"/>
        </w:rPr>
      </w:pPr>
    </w:p>
    <w:p w14:paraId="2E5C4166" w14:textId="77777777" w:rsidR="0042304E" w:rsidRPr="005B1E0E" w:rsidRDefault="0042304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t-EE"/>
        </w:rPr>
      </w:pPr>
    </w:p>
    <w:sectPr w:rsidR="0042304E" w:rsidRPr="005B1E0E" w:rsidSect="00D57CB5">
      <w:headerReference w:type="default" r:id="rId9"/>
      <w:footerReference w:type="default" r:id="rId10"/>
      <w:pgSz w:w="11906" w:h="16838"/>
      <w:pgMar w:top="1417" w:right="1274" w:bottom="1417" w:left="1417" w:header="454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B426B" w14:textId="77777777" w:rsidR="00361AEB" w:rsidRDefault="00361AEB">
      <w:pPr>
        <w:spacing w:after="0" w:line="240" w:lineRule="auto"/>
      </w:pPr>
      <w:r>
        <w:separator/>
      </w:r>
    </w:p>
  </w:endnote>
  <w:endnote w:type="continuationSeparator" w:id="0">
    <w:p w14:paraId="363625E0" w14:textId="77777777" w:rsidR="00361AEB" w:rsidRDefault="0036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02D53" w14:textId="77777777" w:rsidR="006170E0" w:rsidRPr="00E732CE" w:rsidRDefault="006170E0" w:rsidP="006170E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hAnsi="Times New Roman" w:cs="Times New Roman"/>
        <w:color w:val="000000"/>
      </w:rPr>
    </w:pPr>
  </w:p>
  <w:tbl>
    <w:tblPr>
      <w:tblStyle w:val="a0"/>
      <w:tblW w:w="9981" w:type="dxa"/>
      <w:tblInd w:w="-489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5306"/>
      <w:gridCol w:w="4675"/>
    </w:tblGrid>
    <w:tr w:rsidR="0042304E" w:rsidRPr="00367935" w14:paraId="2E5C417F" w14:textId="4BE7B74A" w:rsidTr="00D57CB5">
      <w:trPr>
        <w:trHeight w:val="982"/>
      </w:trPr>
      <w:tc>
        <w:tcPr>
          <w:tcW w:w="5306" w:type="dxa"/>
        </w:tcPr>
        <w:p w14:paraId="2E5C417A" w14:textId="77777777" w:rsidR="0042304E" w:rsidRPr="00E732CE" w:rsidRDefault="000D16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24"/>
              <w:szCs w:val="24"/>
            </w:rPr>
          </w:pPr>
          <w:proofErr w:type="spellStart"/>
          <w:r w:rsidRPr="00E732CE">
            <w:rPr>
              <w:rFonts w:eastAsia="Calibri"/>
              <w:color w:val="000000"/>
              <w:sz w:val="24"/>
              <w:szCs w:val="24"/>
            </w:rPr>
            <w:t>Toompuiestee</w:t>
          </w:r>
          <w:proofErr w:type="spellEnd"/>
          <w:r w:rsidRPr="00E732CE">
            <w:rPr>
              <w:rFonts w:eastAsia="Calibri"/>
              <w:color w:val="000000"/>
              <w:sz w:val="24"/>
              <w:szCs w:val="24"/>
            </w:rPr>
            <w:t xml:space="preserve"> 10, Tallinn 10137 </w:t>
          </w:r>
        </w:p>
        <w:p w14:paraId="2E5C417B" w14:textId="77777777" w:rsidR="0042304E" w:rsidRPr="00E732CE" w:rsidRDefault="000D16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24"/>
              <w:szCs w:val="24"/>
            </w:rPr>
          </w:pPr>
          <w:proofErr w:type="spellStart"/>
          <w:r w:rsidRPr="00E732CE">
            <w:rPr>
              <w:rFonts w:eastAsia="Calibri"/>
              <w:color w:val="000000"/>
              <w:sz w:val="24"/>
              <w:szCs w:val="24"/>
            </w:rPr>
            <w:t>registrikood</w:t>
          </w:r>
          <w:proofErr w:type="spellEnd"/>
          <w:r w:rsidRPr="00E732CE">
            <w:rPr>
              <w:rFonts w:eastAsia="Calibri"/>
              <w:color w:val="000000"/>
              <w:sz w:val="24"/>
              <w:szCs w:val="24"/>
            </w:rPr>
            <w:t xml:space="preserve"> 80014660</w:t>
          </w:r>
        </w:p>
        <w:p w14:paraId="2E5C417C" w14:textId="63A24B0E" w:rsidR="0042304E" w:rsidRPr="00E732CE" w:rsidRDefault="000D16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/>
              <w:sz w:val="24"/>
              <w:szCs w:val="24"/>
            </w:rPr>
          </w:pPr>
          <w:r w:rsidRPr="00E732CE">
            <w:rPr>
              <w:rFonts w:eastAsia="Calibri"/>
              <w:color w:val="000000"/>
              <w:sz w:val="24"/>
              <w:szCs w:val="24"/>
            </w:rPr>
            <w:tab/>
          </w:r>
        </w:p>
        <w:p w14:paraId="2E5C417D" w14:textId="77777777" w:rsidR="0042304E" w:rsidRPr="00E732CE" w:rsidRDefault="004230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4675" w:type="dxa"/>
        </w:tcPr>
        <w:p w14:paraId="792801AB" w14:textId="77777777" w:rsidR="00E732CE" w:rsidRPr="00E732CE" w:rsidRDefault="00E732CE" w:rsidP="00E732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24"/>
              <w:szCs w:val="24"/>
              <w:lang w:val="et-EE"/>
            </w:rPr>
          </w:pPr>
          <w:r w:rsidRPr="00E732CE">
            <w:rPr>
              <w:color w:val="000000"/>
              <w:sz w:val="24"/>
              <w:szCs w:val="24"/>
              <w:lang w:val="et-EE"/>
            </w:rPr>
            <w:t>Mari Puuram</w:t>
          </w:r>
        </w:p>
        <w:p w14:paraId="0ED4E786" w14:textId="77777777" w:rsidR="00E732CE" w:rsidRPr="00E732CE" w:rsidRDefault="00E732CE" w:rsidP="00E732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24"/>
              <w:szCs w:val="24"/>
              <w:lang w:val="et-EE"/>
            </w:rPr>
          </w:pPr>
          <w:r w:rsidRPr="00E732CE">
            <w:rPr>
              <w:color w:val="000000"/>
              <w:sz w:val="24"/>
              <w:szCs w:val="24"/>
              <w:lang w:val="et-EE"/>
            </w:rPr>
            <w:t>Eesti Puuetega Inimeste Koja nõunik</w:t>
          </w:r>
        </w:p>
        <w:p w14:paraId="18C2B076" w14:textId="77777777" w:rsidR="00E732CE" w:rsidRPr="00E732CE" w:rsidRDefault="00E732CE" w:rsidP="00E732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24"/>
              <w:szCs w:val="24"/>
              <w:lang w:val="et-EE"/>
            </w:rPr>
          </w:pPr>
          <w:r w:rsidRPr="00E732CE">
            <w:rPr>
              <w:color w:val="000000"/>
              <w:sz w:val="24"/>
              <w:szCs w:val="24"/>
              <w:lang w:val="et-EE"/>
            </w:rPr>
            <w:t>mari.puuram@epikoda.ee</w:t>
          </w:r>
        </w:p>
        <w:p w14:paraId="2E5C417E" w14:textId="136F62CF" w:rsidR="0042304E" w:rsidRPr="00E732CE" w:rsidRDefault="0042304E" w:rsidP="000935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eastAsia="Calibri"/>
              <w:color w:val="000000"/>
              <w:sz w:val="24"/>
              <w:szCs w:val="24"/>
              <w:lang w:val="et-EE"/>
            </w:rPr>
          </w:pPr>
        </w:p>
      </w:tc>
    </w:tr>
  </w:tbl>
  <w:p w14:paraId="2E5C4180" w14:textId="77777777" w:rsidR="0042304E" w:rsidRPr="00E732CE" w:rsidRDefault="004230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4C185" w14:textId="77777777" w:rsidR="00361AEB" w:rsidRDefault="00361AEB">
      <w:pPr>
        <w:spacing w:after="0" w:line="240" w:lineRule="auto"/>
      </w:pPr>
      <w:r>
        <w:separator/>
      </w:r>
    </w:p>
  </w:footnote>
  <w:footnote w:type="continuationSeparator" w:id="0">
    <w:p w14:paraId="66153A46" w14:textId="77777777" w:rsidR="00361AEB" w:rsidRDefault="0036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C4178" w14:textId="278CEEB3" w:rsidR="0042304E" w:rsidRDefault="00B015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26" w:right="-426" w:hanging="424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409E4E2" wp14:editId="5CCDE84B">
          <wp:extent cx="3276600" cy="683069"/>
          <wp:effectExtent l="0" t="0" r="0" b="3175"/>
          <wp:docPr id="52929505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0880" cy="69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63580"/>
    <w:multiLevelType w:val="hybridMultilevel"/>
    <w:tmpl w:val="3F389A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AD4"/>
    <w:multiLevelType w:val="hybridMultilevel"/>
    <w:tmpl w:val="6C00D2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6FFE"/>
    <w:multiLevelType w:val="hybridMultilevel"/>
    <w:tmpl w:val="5AAE3C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8D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44A6D55"/>
    <w:multiLevelType w:val="multilevel"/>
    <w:tmpl w:val="5C5E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2B7F88"/>
    <w:multiLevelType w:val="hybridMultilevel"/>
    <w:tmpl w:val="A13C16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F432F"/>
    <w:multiLevelType w:val="hybridMultilevel"/>
    <w:tmpl w:val="5016D5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234DE"/>
    <w:multiLevelType w:val="multilevel"/>
    <w:tmpl w:val="D798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EA46F6"/>
    <w:multiLevelType w:val="multilevel"/>
    <w:tmpl w:val="28C2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3148752">
    <w:abstractNumId w:val="4"/>
  </w:num>
  <w:num w:numId="2" w16cid:durableId="727218005">
    <w:abstractNumId w:val="7"/>
  </w:num>
  <w:num w:numId="3" w16cid:durableId="466973781">
    <w:abstractNumId w:val="8"/>
  </w:num>
  <w:num w:numId="4" w16cid:durableId="1063213872">
    <w:abstractNumId w:val="1"/>
  </w:num>
  <w:num w:numId="5" w16cid:durableId="1823933201">
    <w:abstractNumId w:val="6"/>
  </w:num>
  <w:num w:numId="6" w16cid:durableId="1042484221">
    <w:abstractNumId w:val="2"/>
  </w:num>
  <w:num w:numId="7" w16cid:durableId="1216970294">
    <w:abstractNumId w:val="5"/>
  </w:num>
  <w:num w:numId="8" w16cid:durableId="283460031">
    <w:abstractNumId w:val="0"/>
  </w:num>
  <w:num w:numId="9" w16cid:durableId="874007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04E"/>
    <w:rsid w:val="00011095"/>
    <w:rsid w:val="00050876"/>
    <w:rsid w:val="0005243A"/>
    <w:rsid w:val="0006172A"/>
    <w:rsid w:val="000935D1"/>
    <w:rsid w:val="000B5140"/>
    <w:rsid w:val="000D16A3"/>
    <w:rsid w:val="001B1C40"/>
    <w:rsid w:val="001C0BF0"/>
    <w:rsid w:val="001C3320"/>
    <w:rsid w:val="001C5E16"/>
    <w:rsid w:val="00214D57"/>
    <w:rsid w:val="002447AE"/>
    <w:rsid w:val="00251C0B"/>
    <w:rsid w:val="00253D8B"/>
    <w:rsid w:val="00301029"/>
    <w:rsid w:val="00347D14"/>
    <w:rsid w:val="0035250B"/>
    <w:rsid w:val="00361AEB"/>
    <w:rsid w:val="00367935"/>
    <w:rsid w:val="0037542B"/>
    <w:rsid w:val="003E1559"/>
    <w:rsid w:val="003E74F5"/>
    <w:rsid w:val="004036F0"/>
    <w:rsid w:val="0042304E"/>
    <w:rsid w:val="0042643F"/>
    <w:rsid w:val="004522D8"/>
    <w:rsid w:val="004540BE"/>
    <w:rsid w:val="00470885"/>
    <w:rsid w:val="004C2BFD"/>
    <w:rsid w:val="004D1BB6"/>
    <w:rsid w:val="004E1F4A"/>
    <w:rsid w:val="00512C08"/>
    <w:rsid w:val="0052431B"/>
    <w:rsid w:val="00534F53"/>
    <w:rsid w:val="005759DA"/>
    <w:rsid w:val="005B1E0E"/>
    <w:rsid w:val="005B7358"/>
    <w:rsid w:val="005C69CA"/>
    <w:rsid w:val="005F398B"/>
    <w:rsid w:val="006131E0"/>
    <w:rsid w:val="006170E0"/>
    <w:rsid w:val="00630ED5"/>
    <w:rsid w:val="00661C03"/>
    <w:rsid w:val="006D6988"/>
    <w:rsid w:val="006F0A99"/>
    <w:rsid w:val="00711A7C"/>
    <w:rsid w:val="00712404"/>
    <w:rsid w:val="00772B4B"/>
    <w:rsid w:val="00790899"/>
    <w:rsid w:val="007C5439"/>
    <w:rsid w:val="007D1E9D"/>
    <w:rsid w:val="00835CED"/>
    <w:rsid w:val="00840D85"/>
    <w:rsid w:val="00912607"/>
    <w:rsid w:val="009465F5"/>
    <w:rsid w:val="0097698D"/>
    <w:rsid w:val="00990C3A"/>
    <w:rsid w:val="00990EE7"/>
    <w:rsid w:val="009C3BAC"/>
    <w:rsid w:val="009F57AB"/>
    <w:rsid w:val="00A42299"/>
    <w:rsid w:val="00A72C99"/>
    <w:rsid w:val="00B01528"/>
    <w:rsid w:val="00B35EDC"/>
    <w:rsid w:val="00B94CC2"/>
    <w:rsid w:val="00BE2230"/>
    <w:rsid w:val="00BE7C25"/>
    <w:rsid w:val="00C53AB5"/>
    <w:rsid w:val="00C55586"/>
    <w:rsid w:val="00CC7700"/>
    <w:rsid w:val="00CD50C5"/>
    <w:rsid w:val="00CD7236"/>
    <w:rsid w:val="00CF5C13"/>
    <w:rsid w:val="00D11770"/>
    <w:rsid w:val="00D12D91"/>
    <w:rsid w:val="00D42E03"/>
    <w:rsid w:val="00D57CB5"/>
    <w:rsid w:val="00D626A0"/>
    <w:rsid w:val="00D91823"/>
    <w:rsid w:val="00E076AA"/>
    <w:rsid w:val="00E136A1"/>
    <w:rsid w:val="00E321A6"/>
    <w:rsid w:val="00E474E6"/>
    <w:rsid w:val="00E554AD"/>
    <w:rsid w:val="00E732CE"/>
    <w:rsid w:val="00E96831"/>
    <w:rsid w:val="00ED1C72"/>
    <w:rsid w:val="00F40F00"/>
    <w:rsid w:val="00F66B25"/>
    <w:rsid w:val="00F90CC7"/>
    <w:rsid w:val="00FA490C"/>
    <w:rsid w:val="00FE05CE"/>
    <w:rsid w:val="00FF068C"/>
    <w:rsid w:val="3310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4152"/>
  <w15:docId w15:val="{76B00A49-4ABB-43D0-9059-4DD3686E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E24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t-EE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60E3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88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107D"/>
  </w:style>
  <w:style w:type="paragraph" w:styleId="Jalus">
    <w:name w:val="footer"/>
    <w:basedOn w:val="Normaallaad"/>
    <w:link w:val="JalusMrk"/>
    <w:unhideWhenUsed/>
    <w:rsid w:val="0088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rsid w:val="0088107D"/>
  </w:style>
  <w:style w:type="table" w:styleId="Kontuurtabel">
    <w:name w:val="Table Grid"/>
    <w:basedOn w:val="Normaaltabel"/>
    <w:rsid w:val="00692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rsid w:val="00692FAC"/>
    <w:rPr>
      <w:color w:val="0000FF"/>
      <w:u w:val="single"/>
    </w:rPr>
  </w:style>
  <w:style w:type="character" w:customStyle="1" w:styleId="hp">
    <w:name w:val="hp"/>
    <w:basedOn w:val="Liguvaikefont"/>
    <w:rsid w:val="00DC1A24"/>
  </w:style>
  <w:style w:type="character" w:styleId="Tugev">
    <w:name w:val="Strong"/>
    <w:uiPriority w:val="22"/>
    <w:qFormat/>
    <w:rsid w:val="0089413B"/>
    <w:rPr>
      <w:b/>
      <w:bCs/>
    </w:rPr>
  </w:style>
  <w:style w:type="character" w:customStyle="1" w:styleId="Pealkiri3Mrk">
    <w:name w:val="Pealkiri 3 Märk"/>
    <w:basedOn w:val="Liguvaikefont"/>
    <w:link w:val="Pealkiri3"/>
    <w:uiPriority w:val="9"/>
    <w:rsid w:val="00E2430F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customStyle="1" w:styleId="go">
    <w:name w:val="go"/>
    <w:basedOn w:val="Liguvaikefont"/>
    <w:rsid w:val="00E2430F"/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Normaaltabe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Lahendamatamainimine">
    <w:name w:val="Unresolved Mention"/>
    <w:basedOn w:val="Liguvaikefont"/>
    <w:uiPriority w:val="99"/>
    <w:semiHidden/>
    <w:unhideWhenUsed/>
    <w:rsid w:val="00ED1C72"/>
    <w:rPr>
      <w:color w:val="605E5C"/>
      <w:shd w:val="clear" w:color="auto" w:fill="E1DFDD"/>
    </w:rPr>
  </w:style>
  <w:style w:type="paragraph" w:customStyle="1" w:styleId="ldisedpealkirjad">
    <w:name w:val="üldised pealkirjad"/>
    <w:basedOn w:val="Normaallaad"/>
    <w:link w:val="ldisedpealkirjadMrk"/>
    <w:qFormat/>
    <w:rsid w:val="000524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t-EE"/>
    </w:rPr>
  </w:style>
  <w:style w:type="character" w:customStyle="1" w:styleId="ldisedpealkirjadMrk">
    <w:name w:val="üldised pealkirjad Märk"/>
    <w:basedOn w:val="Liguvaikefont"/>
    <w:link w:val="ldisedpealkirjad"/>
    <w:rsid w:val="0005243A"/>
    <w:rPr>
      <w:rFonts w:ascii="Times New Roman" w:eastAsia="Times New Roman" w:hAnsi="Times New Roman" w:cs="Times New Roman"/>
      <w:b/>
      <w:sz w:val="28"/>
      <w:szCs w:val="24"/>
      <w:lang w:val="et-EE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Loendilik">
    <w:name w:val="List Paragraph"/>
    <w:basedOn w:val="Normaallaad"/>
    <w:uiPriority w:val="34"/>
    <w:qFormat/>
    <w:rsid w:val="0025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H0seZshFCqAMdFmi1f2cZJLpkw==">AMUW2mV1Cod81UCr/o7mB113EJ0rMU/j9U5SrD7HjLLQHSx4wJhyfww7htB/yxjJjl7owFgw6euIHIoh9bW3YRItax7RTznc4MonPEFj/J31lz6ZX40gOjI=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D4A474-E662-4947-B8B2-4B19576E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495</Words>
  <Characters>3933</Characters>
  <Application>Microsoft Office Word</Application>
  <DocSecurity>0</DocSecurity>
  <Lines>64</Lines>
  <Paragraphs>16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 Puuram</cp:lastModifiedBy>
  <cp:revision>27</cp:revision>
  <dcterms:created xsi:type="dcterms:W3CDTF">2024-10-06T15:54:00Z</dcterms:created>
  <dcterms:modified xsi:type="dcterms:W3CDTF">2024-10-07T07:38:00Z</dcterms:modified>
</cp:coreProperties>
</file>